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43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ALLEGATO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0" w:firstLine="0"/>
        <w:jc w:val="center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SOSTITUTIVA DELL’ATTO DI NOTORIETÀ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CIRCA IL POSSESSO DEI REQUISITI DI IDONEITÀ MORALE E PROFESSIONALE PER INSTAURARE RAPPORTI CON LA PUBBLICA AMMINISTRAZIONE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" w:line="240" w:lineRule="auto"/>
        <w:ind w:left="1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47 del D.P.R. 28.12.2000, n. 445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0" w:lineRule="auto"/>
        <w:ind w:left="425.19685039370086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0" w:lineRule="auto"/>
        <w:ind w:left="425.1968503937008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ab/>
        <w:t xml:space="preserve">___________________________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46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e a</w:t>
      </w:r>
      <w:r w:rsidDel="00000000" w:rsidR="00000000" w:rsidRPr="00000000">
        <w:rPr>
          <w:rFonts w:ascii="Arial" w:cs="Arial" w:eastAsia="Arial" w:hAnsi="Arial"/>
          <w:color w:val="000009"/>
          <w:sz w:val="22"/>
          <w:szCs w:val="22"/>
          <w:rtl w:val="0"/>
        </w:rPr>
        <w:t xml:space="preserve"> 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ia/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iazza/corso 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nella sua qualità di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egale rappresentante dell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’ETS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shd w:fill="auto" w:val="clear"/>
          <w:vertAlign w:val="baseline"/>
          <w:rtl w:val="0"/>
        </w:rPr>
        <w:tab/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sede legale a </w:t>
      </w:r>
      <w:r w:rsidDel="00000000" w:rsidR="00000000" w:rsidRPr="00000000">
        <w:rPr>
          <w:rFonts w:ascii="Arial" w:cs="Arial" w:eastAsia="Arial" w:hAnsi="Arial"/>
          <w:color w:val="000009"/>
          <w:sz w:val="22"/>
          <w:szCs w:val="22"/>
          <w:rtl w:val="0"/>
        </w:rPr>
        <w:t xml:space="preserve">_____________________ 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via/piazza/corso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240" w:lineRule="auto"/>
        <w:ind w:left="44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C.F. 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P.IVA n.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8" w:right="43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responsabilità e delle conseguenze civili e penali previste in caso di dichiarazioni mendaci e/o formazione o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questo ETS decadrà dai benefici e dalle autorizzazioni per le quali la stessa è stata rilasciata: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7" w:right="645" w:firstLine="0"/>
        <w:jc w:val="center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08" w:right="436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l’ente rappresentato non si trova in stato di fallimento, di liquidazione coatta, di amministrazione controllata o di concordato preventivo o che non abbiano in corso procedure di verifica degli stessi;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8" w:right="434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l’insussistenza di una delle cause di esclusione previste dagli artt. 94, 95, 96, 97 e 98 del Decreto Legislativo n. 36/2023, analogicamente applicato alla presente procedura, per le finalità richiamate ed in quanto compatibile;</w:t>
      </w:r>
    </w:p>
    <w:p w:rsidR="00000000" w:rsidDel="00000000" w:rsidP="00000000" w:rsidRDefault="00000000" w:rsidRPr="00000000" w14:paraId="00000018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67" w:right="1540" w:hanging="1517"/>
        <w:jc w:val="center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 ALTERNATIVA ALLA PRECEDENTE,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7" w:right="434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sussistenza di una delle cause di esclusione previste dagli artt. 94, 95, 96, 97 e 98 del Decreto Legislativo n. 36/2023 su elencate, analogicamente applicato alla presente procedura, per le finalità richiamate ed in quanto compatibile, e di volersi avvalere della facoltà di “self cleaning” disciplinata dall’art. 96 del Decreto Legislativo n. 36/2023.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43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425.19685039370086" w:right="43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produce una descrizione accurata della/delle causa/e di esclusione e idonea documentazione utile al soddisfacimento dei termini e condizioni previsti dal comma 6 dell’art. 96, secondo cui “Un operatore economico che si trovi in una delle situazioni di cui all’articolo 94, a eccezione del comma 6, e all’articolo 95, a eccezione del comma 2, può fornire prova del fatto che le misure da lui adottate sono sufficienti a dimostrare la sua affidabilità. Se tali misure sono ritenute sufficienti e tempestivamente adottate, esso non è escluso dalla procedura d'appalto. A tal fine, l'operatore economico dimostra di 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illeciti. Le misure adottate dagli operatori economici sono valutate considerando la gravità e le particolari circostanze del reato o dell'illecito, nonché la tempestività della loro assunzione. Se la stazione appaltante ritiene che le misure siano intempestive o insufficienti, ne comunica le ragioni all'operatore economico.”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Torino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lì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(Firma digitale)</w:t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7" w:right="41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firmato digitalmente ai sensi del testo unico D.P.R. 28/12/2000 n. 445, del D.Lgs. 07/03/2005 n. 82 e norme collegate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Rule="auto"/>
        <w:rPr/>
      </w:pPr>
      <w:bookmarkStart w:colFirst="0" w:colLast="0" w:name="_uqq2yvvmby0n" w:id="0"/>
      <w:bookmarkEnd w:id="0"/>
      <w:r w:rsidDel="00000000" w:rsidR="00000000" w:rsidRPr="00000000">
        <w:rPr>
          <w:rtl w:val="0"/>
        </w:rPr>
        <w:br w:type="textWrapping"/>
      </w:r>
    </w:p>
    <w:sectPr>
      <w:footerReference r:id="rId6" w:type="default"/>
      <w:pgSz w:h="16840" w:w="11900" w:orient="portrait"/>
      <w:pgMar w:bottom="1240" w:top="1340" w:left="1020" w:right="1000" w:header="0" w:footer="10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Georgia"/>
  <w:font w:name="Arial"/>
  <w:font w:name="Courier New"/>
  <w:font w:name="Times"/>
  <w:font w:name="Source Sans Pro Black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3043238</wp:posOffset>
              </wp:positionH>
              <wp:positionV relativeFrom="paragraph">
                <wp:posOffset>9875838</wp:posOffset>
              </wp:positionV>
              <wp:extent cx="171450" cy="2133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10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3043238</wp:posOffset>
              </wp:positionH>
              <wp:positionV relativeFrom="paragraph">
                <wp:posOffset>9875838</wp:posOffset>
              </wp:positionV>
              <wp:extent cx="171450" cy="2133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450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Times" w:cs="Times" w:eastAsia="Times" w:hAnsi="Times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tabs>
        <w:tab w:val="left" w:leader="none" w:pos="1185"/>
      </w:tabs>
      <w:jc w:val="center"/>
    </w:pPr>
    <w:rPr>
      <w:rFonts w:ascii="Source Sans Pro Black" w:cs="Source Sans Pro Black" w:eastAsia="Source Sans Pro Black" w:hAnsi="Source Sans Pro Black"/>
      <w:b w:val="1"/>
      <w:bCs w:val="1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